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FD6B4" w14:textId="17178B98" w:rsidR="009A6296" w:rsidRDefault="006322A3" w:rsidP="009D611E">
      <w:pPr>
        <w:jc w:val="center"/>
        <w:rPr>
          <w:rFonts w:ascii="Arial Narrow" w:hAnsi="Arial Narrow"/>
          <w:b/>
          <w:sz w:val="24"/>
          <w:szCs w:val="24"/>
        </w:rPr>
      </w:pPr>
      <w:r>
        <w:rPr>
          <w:rFonts w:ascii="Arial Narrow" w:hAnsi="Arial Narrow"/>
          <w:b/>
          <w:sz w:val="24"/>
          <w:szCs w:val="24"/>
        </w:rPr>
        <w:tab/>
        <w:t xml:space="preserve">OVERVIEW OF DIRECT SUPPORT PROFESSIONAL WORKFORCE </w:t>
      </w:r>
    </w:p>
    <w:p w14:paraId="2653B4E3" w14:textId="51E9D9A8" w:rsidR="00BA2550" w:rsidRPr="001F436C" w:rsidRDefault="00DA4CA8" w:rsidP="003E7070">
      <w:pPr>
        <w:rPr>
          <w:b/>
          <w:sz w:val="24"/>
          <w:szCs w:val="24"/>
        </w:rPr>
      </w:pPr>
      <w:r w:rsidRPr="001F436C">
        <w:rPr>
          <w:b/>
          <w:sz w:val="24"/>
          <w:szCs w:val="24"/>
        </w:rPr>
        <w:t>What is</w:t>
      </w:r>
      <w:r w:rsidR="006322A3" w:rsidRPr="001F436C">
        <w:rPr>
          <w:b/>
          <w:sz w:val="24"/>
          <w:szCs w:val="24"/>
        </w:rPr>
        <w:t xml:space="preserve"> a Direct Support Professional</w:t>
      </w:r>
      <w:r w:rsidR="00F0626A" w:rsidRPr="001F436C">
        <w:rPr>
          <w:b/>
          <w:sz w:val="24"/>
          <w:szCs w:val="24"/>
        </w:rPr>
        <w:t>?</w:t>
      </w:r>
    </w:p>
    <w:p w14:paraId="42F6BB9D" w14:textId="21A78353" w:rsidR="006322A3" w:rsidRPr="001F436C" w:rsidRDefault="00A92E0E" w:rsidP="00F0626A">
      <w:pPr>
        <w:pStyle w:val="NoSpacing"/>
        <w:rPr>
          <w:sz w:val="24"/>
          <w:szCs w:val="24"/>
        </w:rPr>
      </w:pPr>
      <w:r w:rsidRPr="001F436C">
        <w:rPr>
          <w:sz w:val="24"/>
          <w:szCs w:val="24"/>
        </w:rPr>
        <w:t>Direct care professionals</w:t>
      </w:r>
      <w:r w:rsidR="001F436C">
        <w:rPr>
          <w:sz w:val="24"/>
          <w:szCs w:val="24"/>
        </w:rPr>
        <w:t xml:space="preserve"> (DSPs)</w:t>
      </w:r>
      <w:r w:rsidR="00A9234C" w:rsidRPr="001F436C">
        <w:rPr>
          <w:sz w:val="24"/>
          <w:szCs w:val="24"/>
        </w:rPr>
        <w:t xml:space="preserve"> provide frontline</w:t>
      </w:r>
      <w:r w:rsidR="009508E4">
        <w:rPr>
          <w:sz w:val="24"/>
          <w:szCs w:val="24"/>
        </w:rPr>
        <w:t xml:space="preserve"> </w:t>
      </w:r>
      <w:r w:rsidR="00A9234C" w:rsidRPr="001F436C">
        <w:rPr>
          <w:sz w:val="24"/>
          <w:szCs w:val="24"/>
        </w:rPr>
        <w:t>caregiving services. They</w:t>
      </w:r>
      <w:r w:rsidRPr="001F436C">
        <w:rPr>
          <w:sz w:val="24"/>
          <w:szCs w:val="24"/>
        </w:rPr>
        <w:t xml:space="preserve"> help older adults and people with disabilities to get dressed, eat their meals, bathe, </w:t>
      </w:r>
      <w:r w:rsidR="00E96895" w:rsidRPr="001F436C">
        <w:rPr>
          <w:sz w:val="24"/>
          <w:szCs w:val="24"/>
        </w:rPr>
        <w:t>take</w:t>
      </w:r>
      <w:r w:rsidRPr="001F436C">
        <w:rPr>
          <w:sz w:val="24"/>
          <w:szCs w:val="24"/>
        </w:rPr>
        <w:t xml:space="preserve"> their medications and participate in daily life. </w:t>
      </w:r>
      <w:r w:rsidR="00E96895" w:rsidRPr="001F436C">
        <w:rPr>
          <w:sz w:val="24"/>
          <w:szCs w:val="24"/>
        </w:rPr>
        <w:t xml:space="preserve">Direct </w:t>
      </w:r>
      <w:r w:rsidR="000F5D28">
        <w:rPr>
          <w:sz w:val="24"/>
          <w:szCs w:val="24"/>
        </w:rPr>
        <w:t>support</w:t>
      </w:r>
      <w:r w:rsidR="00E96895" w:rsidRPr="001F436C">
        <w:rPr>
          <w:sz w:val="24"/>
          <w:szCs w:val="24"/>
        </w:rPr>
        <w:t xml:space="preserve"> jobs </w:t>
      </w:r>
      <w:proofErr w:type="gramStart"/>
      <w:r w:rsidR="00E96895" w:rsidRPr="001F436C">
        <w:rPr>
          <w:sz w:val="24"/>
          <w:szCs w:val="24"/>
        </w:rPr>
        <w:t>include:</w:t>
      </w:r>
      <w:proofErr w:type="gramEnd"/>
      <w:r w:rsidRPr="001F436C">
        <w:rPr>
          <w:sz w:val="24"/>
          <w:szCs w:val="24"/>
        </w:rPr>
        <w:t xml:space="preserve"> personal care, </w:t>
      </w:r>
      <w:r w:rsidR="00F21202">
        <w:rPr>
          <w:sz w:val="24"/>
          <w:szCs w:val="24"/>
        </w:rPr>
        <w:t xml:space="preserve">home health, </w:t>
      </w:r>
      <w:r w:rsidRPr="001F436C">
        <w:rPr>
          <w:sz w:val="24"/>
          <w:szCs w:val="24"/>
        </w:rPr>
        <w:t>supportive home care, respite, job coaching and day services that make it possible for people with disabilities and older adults to live independently in their own homes.</w:t>
      </w:r>
    </w:p>
    <w:p w14:paraId="78FFEE29" w14:textId="0D60A032" w:rsidR="001F436C" w:rsidRPr="001F436C" w:rsidRDefault="001F436C" w:rsidP="00F0626A">
      <w:pPr>
        <w:pStyle w:val="NoSpacing"/>
        <w:rPr>
          <w:sz w:val="24"/>
          <w:szCs w:val="24"/>
        </w:rPr>
      </w:pPr>
    </w:p>
    <w:p w14:paraId="4EEE5709" w14:textId="0D64B1A1" w:rsidR="001F436C" w:rsidRDefault="001F436C" w:rsidP="00F0626A">
      <w:pPr>
        <w:pStyle w:val="NoSpacing"/>
        <w:rPr>
          <w:b/>
          <w:bCs/>
          <w:sz w:val="24"/>
          <w:szCs w:val="24"/>
        </w:rPr>
      </w:pPr>
      <w:r w:rsidRPr="001F436C">
        <w:rPr>
          <w:b/>
          <w:bCs/>
          <w:sz w:val="24"/>
          <w:szCs w:val="24"/>
        </w:rPr>
        <w:t>Wisconsin’s Direct Support Professional Workforce</w:t>
      </w:r>
    </w:p>
    <w:p w14:paraId="6AFF34E5" w14:textId="5B9D1300" w:rsidR="00391872" w:rsidRDefault="00391872" w:rsidP="00F0626A">
      <w:pPr>
        <w:pStyle w:val="NoSpacing"/>
        <w:rPr>
          <w:b/>
          <w:bCs/>
          <w:sz w:val="24"/>
          <w:szCs w:val="24"/>
        </w:rPr>
      </w:pPr>
    </w:p>
    <w:p w14:paraId="33EED0BA" w14:textId="1844E5CA" w:rsidR="00391872" w:rsidRDefault="00127E81" w:rsidP="00F0626A">
      <w:pPr>
        <w:pStyle w:val="NoSpacing"/>
        <w:rPr>
          <w:sz w:val="24"/>
          <w:szCs w:val="24"/>
        </w:rPr>
      </w:pPr>
      <w:r>
        <w:rPr>
          <w:sz w:val="24"/>
          <w:szCs w:val="24"/>
        </w:rPr>
        <w:t xml:space="preserve">According to estimates from </w:t>
      </w:r>
      <w:r w:rsidR="006B0A8F">
        <w:rPr>
          <w:sz w:val="24"/>
          <w:szCs w:val="24"/>
        </w:rPr>
        <w:t xml:space="preserve">PHI, a national research and policy organization focused on the direct support workforce, there are </w:t>
      </w:r>
      <w:r w:rsidR="00533927">
        <w:rPr>
          <w:sz w:val="24"/>
          <w:szCs w:val="24"/>
        </w:rPr>
        <w:t xml:space="preserve">roughly 103,000 direct support professionals in Wisconsin. </w:t>
      </w:r>
      <w:r w:rsidR="00E22709">
        <w:rPr>
          <w:sz w:val="24"/>
          <w:szCs w:val="24"/>
        </w:rPr>
        <w:t>PHI data indicates</w:t>
      </w:r>
      <w:r w:rsidR="00A5601C">
        <w:rPr>
          <w:rStyle w:val="FootnoteReference"/>
          <w:sz w:val="24"/>
          <w:szCs w:val="24"/>
        </w:rPr>
        <w:footnoteReference w:id="1"/>
      </w:r>
      <w:r w:rsidR="00E22709">
        <w:rPr>
          <w:sz w:val="24"/>
          <w:szCs w:val="24"/>
        </w:rPr>
        <w:t>:</w:t>
      </w:r>
    </w:p>
    <w:p w14:paraId="4D30A167" w14:textId="5DACDDA2" w:rsidR="00382C28" w:rsidRDefault="00382C28" w:rsidP="00F0626A">
      <w:pPr>
        <w:pStyle w:val="NoSpacing"/>
        <w:rPr>
          <w:sz w:val="24"/>
          <w:szCs w:val="24"/>
        </w:rPr>
      </w:pPr>
    </w:p>
    <w:p w14:paraId="73872B4B" w14:textId="54890648" w:rsidR="003924B7" w:rsidRDefault="003924B7" w:rsidP="00382C28">
      <w:pPr>
        <w:pStyle w:val="NoSpacing"/>
        <w:numPr>
          <w:ilvl w:val="0"/>
          <w:numId w:val="13"/>
        </w:numPr>
        <w:rPr>
          <w:sz w:val="24"/>
          <w:szCs w:val="24"/>
        </w:rPr>
      </w:pPr>
      <w:r>
        <w:rPr>
          <w:sz w:val="24"/>
          <w:szCs w:val="24"/>
        </w:rPr>
        <w:t xml:space="preserve">81% </w:t>
      </w:r>
      <w:proofErr w:type="gramStart"/>
      <w:r>
        <w:rPr>
          <w:sz w:val="24"/>
          <w:szCs w:val="24"/>
        </w:rPr>
        <w:t xml:space="preserve">of </w:t>
      </w:r>
      <w:r w:rsidR="004D5EDA">
        <w:rPr>
          <w:sz w:val="24"/>
          <w:szCs w:val="24"/>
        </w:rPr>
        <w:t xml:space="preserve"> Wisconsin</w:t>
      </w:r>
      <w:proofErr w:type="gramEnd"/>
      <w:r w:rsidR="004D5EDA">
        <w:rPr>
          <w:sz w:val="24"/>
          <w:szCs w:val="24"/>
        </w:rPr>
        <w:t xml:space="preserve"> </w:t>
      </w:r>
      <w:r>
        <w:rPr>
          <w:sz w:val="24"/>
          <w:szCs w:val="24"/>
        </w:rPr>
        <w:t xml:space="preserve">direct support professionals are women </w:t>
      </w:r>
    </w:p>
    <w:p w14:paraId="60E74B46" w14:textId="1CDC140F" w:rsidR="00A62BF5" w:rsidRDefault="00A62BF5" w:rsidP="00382C28">
      <w:pPr>
        <w:pStyle w:val="NoSpacing"/>
        <w:numPr>
          <w:ilvl w:val="0"/>
          <w:numId w:val="13"/>
        </w:numPr>
        <w:rPr>
          <w:sz w:val="24"/>
          <w:szCs w:val="24"/>
        </w:rPr>
      </w:pPr>
      <w:r>
        <w:rPr>
          <w:sz w:val="24"/>
          <w:szCs w:val="24"/>
        </w:rPr>
        <w:t xml:space="preserve">30% are people of color </w:t>
      </w:r>
    </w:p>
    <w:p w14:paraId="4BBF7B4C" w14:textId="27C2E57A" w:rsidR="00382C28" w:rsidRDefault="002D098F" w:rsidP="00382C28">
      <w:pPr>
        <w:pStyle w:val="NoSpacing"/>
        <w:numPr>
          <w:ilvl w:val="0"/>
          <w:numId w:val="13"/>
        </w:numPr>
        <w:rPr>
          <w:sz w:val="24"/>
          <w:szCs w:val="24"/>
        </w:rPr>
      </w:pPr>
      <w:r>
        <w:rPr>
          <w:sz w:val="24"/>
          <w:szCs w:val="24"/>
        </w:rPr>
        <w:t>The median hourly wage is $12.73</w:t>
      </w:r>
    </w:p>
    <w:p w14:paraId="12D16C11" w14:textId="45E0315C" w:rsidR="00426547" w:rsidRDefault="00426547" w:rsidP="00A62BF5">
      <w:pPr>
        <w:pStyle w:val="NoSpacing"/>
        <w:numPr>
          <w:ilvl w:val="0"/>
          <w:numId w:val="13"/>
        </w:numPr>
        <w:rPr>
          <w:sz w:val="24"/>
          <w:szCs w:val="24"/>
        </w:rPr>
      </w:pPr>
      <w:r>
        <w:rPr>
          <w:sz w:val="24"/>
          <w:szCs w:val="24"/>
        </w:rPr>
        <w:t xml:space="preserve">41% of workers rely on public assistance programs like Medicaid or </w:t>
      </w:r>
      <w:proofErr w:type="spellStart"/>
      <w:r>
        <w:rPr>
          <w:sz w:val="24"/>
          <w:szCs w:val="24"/>
        </w:rPr>
        <w:t>FoodShare</w:t>
      </w:r>
      <w:proofErr w:type="spellEnd"/>
      <w:r>
        <w:rPr>
          <w:sz w:val="24"/>
          <w:szCs w:val="24"/>
        </w:rPr>
        <w:t xml:space="preserve"> </w:t>
      </w:r>
    </w:p>
    <w:p w14:paraId="44D270A3" w14:textId="6DDDF791" w:rsidR="00E22709" w:rsidRPr="00A62BF5" w:rsidRDefault="00E22709" w:rsidP="00A62BF5">
      <w:pPr>
        <w:pStyle w:val="NoSpacing"/>
        <w:numPr>
          <w:ilvl w:val="0"/>
          <w:numId w:val="13"/>
        </w:numPr>
        <w:rPr>
          <w:sz w:val="24"/>
          <w:szCs w:val="24"/>
        </w:rPr>
      </w:pPr>
      <w:r>
        <w:rPr>
          <w:sz w:val="24"/>
          <w:szCs w:val="24"/>
        </w:rPr>
        <w:t xml:space="preserve">There will be an estimated </w:t>
      </w:r>
      <w:r w:rsidRPr="00E22709">
        <w:rPr>
          <w:sz w:val="24"/>
          <w:szCs w:val="24"/>
        </w:rPr>
        <w:t>173,900</w:t>
      </w:r>
      <w:r>
        <w:rPr>
          <w:sz w:val="24"/>
          <w:szCs w:val="24"/>
        </w:rPr>
        <w:t xml:space="preserve"> direct support job openings in Wisconsin </w:t>
      </w:r>
      <w:r w:rsidR="00B14169">
        <w:rPr>
          <w:sz w:val="24"/>
          <w:szCs w:val="24"/>
        </w:rPr>
        <w:t xml:space="preserve">from </w:t>
      </w:r>
      <w:r>
        <w:rPr>
          <w:sz w:val="24"/>
          <w:szCs w:val="24"/>
        </w:rPr>
        <w:t xml:space="preserve">2016 </w:t>
      </w:r>
      <w:r w:rsidR="00B14169">
        <w:rPr>
          <w:sz w:val="24"/>
          <w:szCs w:val="24"/>
        </w:rPr>
        <w:t xml:space="preserve">to </w:t>
      </w:r>
      <w:r>
        <w:rPr>
          <w:sz w:val="24"/>
          <w:szCs w:val="24"/>
        </w:rPr>
        <w:t>2026</w:t>
      </w:r>
    </w:p>
    <w:p w14:paraId="2024E243" w14:textId="77777777" w:rsidR="006322A3" w:rsidRPr="001F436C" w:rsidRDefault="006322A3" w:rsidP="00F0626A">
      <w:pPr>
        <w:pStyle w:val="NoSpacing"/>
        <w:rPr>
          <w:b/>
          <w:sz w:val="24"/>
          <w:szCs w:val="24"/>
        </w:rPr>
      </w:pPr>
    </w:p>
    <w:p w14:paraId="6523B83E" w14:textId="551E32FD" w:rsidR="004400FD" w:rsidRPr="001F436C" w:rsidRDefault="00EA6217" w:rsidP="00F0626A">
      <w:pPr>
        <w:pStyle w:val="NoSpacing"/>
        <w:rPr>
          <w:b/>
          <w:sz w:val="24"/>
          <w:szCs w:val="24"/>
        </w:rPr>
      </w:pPr>
      <w:r w:rsidRPr="001F436C">
        <w:rPr>
          <w:b/>
          <w:sz w:val="24"/>
          <w:szCs w:val="24"/>
        </w:rPr>
        <w:t xml:space="preserve">Direct Support Professional Workforce </w:t>
      </w:r>
      <w:r w:rsidR="00846CE1" w:rsidRPr="001F436C">
        <w:rPr>
          <w:b/>
          <w:sz w:val="24"/>
          <w:szCs w:val="24"/>
        </w:rPr>
        <w:t xml:space="preserve">in Crisis </w:t>
      </w:r>
    </w:p>
    <w:p w14:paraId="1D189BA4" w14:textId="77777777" w:rsidR="00846CE1" w:rsidRPr="001F436C" w:rsidRDefault="00846CE1" w:rsidP="00F0626A">
      <w:pPr>
        <w:pStyle w:val="NoSpacing"/>
        <w:rPr>
          <w:b/>
          <w:sz w:val="24"/>
          <w:szCs w:val="24"/>
        </w:rPr>
      </w:pPr>
    </w:p>
    <w:p w14:paraId="50625163" w14:textId="4BAEADB0" w:rsidR="00A11038" w:rsidRDefault="00987493" w:rsidP="00F0626A">
      <w:pPr>
        <w:pStyle w:val="NoSpacing"/>
        <w:rPr>
          <w:sz w:val="24"/>
          <w:szCs w:val="24"/>
        </w:rPr>
      </w:pPr>
      <w:r>
        <w:rPr>
          <w:sz w:val="24"/>
          <w:szCs w:val="24"/>
        </w:rPr>
        <w:t>Prior to the COV</w:t>
      </w:r>
      <w:r w:rsidR="008D5210">
        <w:rPr>
          <w:sz w:val="24"/>
          <w:szCs w:val="24"/>
        </w:rPr>
        <w:t>I</w:t>
      </w:r>
      <w:r>
        <w:rPr>
          <w:sz w:val="24"/>
          <w:szCs w:val="24"/>
        </w:rPr>
        <w:t>D-19 pandemic, Wisconsin was</w:t>
      </w:r>
      <w:r w:rsidR="00A11038">
        <w:rPr>
          <w:sz w:val="24"/>
          <w:szCs w:val="24"/>
        </w:rPr>
        <w:t xml:space="preserve"> already</w:t>
      </w:r>
      <w:r>
        <w:rPr>
          <w:sz w:val="24"/>
          <w:szCs w:val="24"/>
        </w:rPr>
        <w:t xml:space="preserve"> experiencing a direct support professional</w:t>
      </w:r>
      <w:r w:rsidR="00B557F8" w:rsidRPr="001F436C">
        <w:rPr>
          <w:sz w:val="24"/>
          <w:szCs w:val="24"/>
        </w:rPr>
        <w:t xml:space="preserve"> shortage so severe that </w:t>
      </w:r>
      <w:r>
        <w:rPr>
          <w:sz w:val="24"/>
          <w:szCs w:val="24"/>
        </w:rPr>
        <w:t>was</w:t>
      </w:r>
      <w:r w:rsidR="00B557F8" w:rsidRPr="001F436C">
        <w:rPr>
          <w:sz w:val="24"/>
          <w:szCs w:val="24"/>
        </w:rPr>
        <w:t xml:space="preserve"> jeopardizing the health, safety and welfare of older adults and people with disabilities. </w:t>
      </w:r>
      <w:r w:rsidR="00E93DE9">
        <w:rPr>
          <w:sz w:val="24"/>
          <w:szCs w:val="24"/>
        </w:rPr>
        <w:t xml:space="preserve">A 2016 survey by the Survival Coalition found that 85% of individuals in need of direct support services could not find enough workers to cover all of their shifts. </w:t>
      </w:r>
    </w:p>
    <w:p w14:paraId="30F3E1DE" w14:textId="77777777" w:rsidR="00A11038" w:rsidRDefault="00A11038" w:rsidP="00F0626A">
      <w:pPr>
        <w:pStyle w:val="NoSpacing"/>
        <w:rPr>
          <w:sz w:val="24"/>
          <w:szCs w:val="24"/>
        </w:rPr>
      </w:pPr>
    </w:p>
    <w:p w14:paraId="0DB4BDBC" w14:textId="6A9473C6" w:rsidR="002F646A" w:rsidRDefault="00A11038" w:rsidP="00F0626A">
      <w:pPr>
        <w:pStyle w:val="NoSpacing"/>
        <w:rPr>
          <w:sz w:val="24"/>
          <w:szCs w:val="24"/>
        </w:rPr>
      </w:pPr>
      <w:r>
        <w:rPr>
          <w:sz w:val="24"/>
          <w:szCs w:val="24"/>
        </w:rPr>
        <w:t xml:space="preserve">Throughout the COVID-19 crisis, direct support professionals have </w:t>
      </w:r>
      <w:r w:rsidR="00BE6FBD">
        <w:rPr>
          <w:sz w:val="24"/>
          <w:szCs w:val="24"/>
        </w:rPr>
        <w:t>put themselves at risk by continuing to enter people’s homes to provide</w:t>
      </w:r>
      <w:r>
        <w:rPr>
          <w:sz w:val="24"/>
          <w:szCs w:val="24"/>
        </w:rPr>
        <w:t xml:space="preserve"> </w:t>
      </w:r>
      <w:r w:rsidR="002F07D0">
        <w:rPr>
          <w:sz w:val="24"/>
          <w:szCs w:val="24"/>
        </w:rPr>
        <w:t xml:space="preserve">needed </w:t>
      </w:r>
      <w:r>
        <w:rPr>
          <w:sz w:val="24"/>
          <w:szCs w:val="24"/>
        </w:rPr>
        <w:t>caregiving services</w:t>
      </w:r>
      <w:r w:rsidRPr="00A11038">
        <w:rPr>
          <w:sz w:val="24"/>
          <w:szCs w:val="24"/>
        </w:rPr>
        <w:t>.</w:t>
      </w:r>
      <w:r w:rsidR="002F07D0">
        <w:rPr>
          <w:sz w:val="24"/>
          <w:szCs w:val="24"/>
        </w:rPr>
        <w:t xml:space="preserve"> </w:t>
      </w:r>
      <w:r w:rsidR="002F07D0" w:rsidRPr="00A11038">
        <w:rPr>
          <w:sz w:val="24"/>
          <w:szCs w:val="24"/>
        </w:rPr>
        <w:t>They are truly on the frontlines of this pandemic as best practice is for</w:t>
      </w:r>
      <w:r w:rsidR="00BE6FBD">
        <w:rPr>
          <w:sz w:val="24"/>
          <w:szCs w:val="24"/>
        </w:rPr>
        <w:t xml:space="preserve"> COVID-19 patients</w:t>
      </w:r>
      <w:r w:rsidR="002F07D0" w:rsidRPr="00A11038">
        <w:rPr>
          <w:sz w:val="24"/>
          <w:szCs w:val="24"/>
        </w:rPr>
        <w:t xml:space="preserve"> who do not require hospitalization to self-quarantine at home.</w:t>
      </w:r>
      <w:r w:rsidRPr="00A11038">
        <w:rPr>
          <w:sz w:val="24"/>
          <w:szCs w:val="24"/>
        </w:rPr>
        <w:t xml:space="preserve"> </w:t>
      </w:r>
    </w:p>
    <w:p w14:paraId="5C2A644B" w14:textId="61568AA1" w:rsidR="00EA6BDA" w:rsidRDefault="00EA6BDA" w:rsidP="00F0626A">
      <w:pPr>
        <w:pStyle w:val="NoSpacing"/>
        <w:rPr>
          <w:sz w:val="24"/>
          <w:szCs w:val="24"/>
        </w:rPr>
      </w:pPr>
    </w:p>
    <w:p w14:paraId="50112638" w14:textId="03DDCE2D" w:rsidR="00EA6BDA" w:rsidRDefault="00CB783F" w:rsidP="00F0626A">
      <w:pPr>
        <w:pStyle w:val="NoSpacing"/>
        <w:rPr>
          <w:sz w:val="23"/>
          <w:szCs w:val="23"/>
        </w:rPr>
      </w:pPr>
      <w:r>
        <w:rPr>
          <w:sz w:val="24"/>
          <w:szCs w:val="24"/>
        </w:rPr>
        <w:t>Survey results</w:t>
      </w:r>
      <w:r w:rsidR="00EA3280">
        <w:rPr>
          <w:sz w:val="24"/>
          <w:szCs w:val="24"/>
        </w:rPr>
        <w:t xml:space="preserve"> </w:t>
      </w:r>
      <w:r w:rsidR="00A87926">
        <w:rPr>
          <w:sz w:val="24"/>
          <w:szCs w:val="24"/>
        </w:rPr>
        <w:t>from</w:t>
      </w:r>
      <w:r w:rsidR="00EA3280">
        <w:rPr>
          <w:sz w:val="24"/>
          <w:szCs w:val="24"/>
        </w:rPr>
        <w:t xml:space="preserve"> 300 direct support professionals</w:t>
      </w:r>
      <w:r>
        <w:rPr>
          <w:sz w:val="24"/>
          <w:szCs w:val="24"/>
        </w:rPr>
        <w:t xml:space="preserve"> released by </w:t>
      </w:r>
      <w:r>
        <w:rPr>
          <w:sz w:val="23"/>
          <w:szCs w:val="23"/>
        </w:rPr>
        <w:t>the Wisconsin Personal Services Association, Wisconsin Long Term Care Workforce Alliance, Survival Coalition of Wisconsin Disability Organizations and InControl Wisconsin on November 18 reveal that the workforce is at a breaking point</w:t>
      </w:r>
      <w:r w:rsidR="00A87926">
        <w:rPr>
          <w:sz w:val="23"/>
          <w:szCs w:val="23"/>
        </w:rPr>
        <w:t>:</w:t>
      </w:r>
    </w:p>
    <w:p w14:paraId="6F3B4127" w14:textId="4F3F66D5" w:rsidR="00A87926" w:rsidRDefault="00A87926" w:rsidP="00F0626A">
      <w:pPr>
        <w:pStyle w:val="NoSpacing"/>
        <w:rPr>
          <w:sz w:val="23"/>
          <w:szCs w:val="23"/>
        </w:rPr>
      </w:pPr>
    </w:p>
    <w:p w14:paraId="4E58E859" w14:textId="26E23C49" w:rsidR="00A87926" w:rsidRDefault="00D56190" w:rsidP="00A87926">
      <w:pPr>
        <w:pStyle w:val="NoSpacing"/>
        <w:numPr>
          <w:ilvl w:val="0"/>
          <w:numId w:val="14"/>
        </w:numPr>
        <w:rPr>
          <w:sz w:val="24"/>
          <w:szCs w:val="24"/>
        </w:rPr>
      </w:pPr>
      <w:r>
        <w:rPr>
          <w:sz w:val="24"/>
          <w:szCs w:val="24"/>
        </w:rPr>
        <w:t>Nearly half of respondents work a second job in order to support themselves</w:t>
      </w:r>
    </w:p>
    <w:p w14:paraId="502F8294" w14:textId="15C9CD75" w:rsidR="00D56190" w:rsidRDefault="00A93C4F" w:rsidP="00A87926">
      <w:pPr>
        <w:pStyle w:val="NoSpacing"/>
        <w:numPr>
          <w:ilvl w:val="0"/>
          <w:numId w:val="14"/>
        </w:numPr>
        <w:rPr>
          <w:sz w:val="24"/>
          <w:szCs w:val="24"/>
        </w:rPr>
      </w:pPr>
      <w:r>
        <w:rPr>
          <w:sz w:val="24"/>
          <w:szCs w:val="24"/>
        </w:rPr>
        <w:lastRenderedPageBreak/>
        <w:t>76</w:t>
      </w:r>
      <w:r w:rsidR="00D241B1">
        <w:rPr>
          <w:sz w:val="24"/>
          <w:szCs w:val="24"/>
        </w:rPr>
        <w:t xml:space="preserve">% of respondents </w:t>
      </w:r>
      <w:r w:rsidR="009E49E2">
        <w:rPr>
          <w:sz w:val="24"/>
          <w:szCs w:val="24"/>
        </w:rPr>
        <w:t>say the main reason they have considered</w:t>
      </w:r>
      <w:r w:rsidR="00D241B1">
        <w:rPr>
          <w:sz w:val="24"/>
          <w:szCs w:val="24"/>
        </w:rPr>
        <w:t xml:space="preserve"> leaving the profession</w:t>
      </w:r>
      <w:r w:rsidR="009E49E2">
        <w:rPr>
          <w:sz w:val="24"/>
          <w:szCs w:val="24"/>
        </w:rPr>
        <w:t xml:space="preserve"> is</w:t>
      </w:r>
      <w:r w:rsidR="00D241B1">
        <w:rPr>
          <w:sz w:val="24"/>
          <w:szCs w:val="24"/>
        </w:rPr>
        <w:t xml:space="preserve"> for a higher-paying job</w:t>
      </w:r>
      <w:r>
        <w:rPr>
          <w:sz w:val="24"/>
          <w:szCs w:val="24"/>
        </w:rPr>
        <w:t xml:space="preserve"> or one that provides benefits </w:t>
      </w:r>
    </w:p>
    <w:p w14:paraId="7A519250" w14:textId="0B224D7B" w:rsidR="00D241B1" w:rsidRDefault="00976B4B" w:rsidP="00A87926">
      <w:pPr>
        <w:pStyle w:val="NoSpacing"/>
        <w:numPr>
          <w:ilvl w:val="0"/>
          <w:numId w:val="14"/>
        </w:numPr>
        <w:rPr>
          <w:sz w:val="24"/>
          <w:szCs w:val="24"/>
        </w:rPr>
      </w:pPr>
      <w:r>
        <w:rPr>
          <w:sz w:val="24"/>
          <w:szCs w:val="24"/>
        </w:rPr>
        <w:t>60% of respondents are either “very likely” or “likely” to remain in the profession if it led to additional health care certifications like CNA, LPN or RN</w:t>
      </w:r>
    </w:p>
    <w:p w14:paraId="3E030C2D" w14:textId="75B8DD94" w:rsidR="00976B4B" w:rsidRPr="001F436C" w:rsidRDefault="00580203" w:rsidP="00A87926">
      <w:pPr>
        <w:pStyle w:val="NoSpacing"/>
        <w:numPr>
          <w:ilvl w:val="0"/>
          <w:numId w:val="14"/>
        </w:numPr>
        <w:rPr>
          <w:sz w:val="24"/>
          <w:szCs w:val="24"/>
        </w:rPr>
      </w:pPr>
      <w:r>
        <w:rPr>
          <w:sz w:val="24"/>
          <w:szCs w:val="24"/>
        </w:rPr>
        <w:t xml:space="preserve">73% of respondents are “very likely” to stay in the profession if there were consistent raises or bonuses </w:t>
      </w:r>
    </w:p>
    <w:p w14:paraId="40805ABD" w14:textId="77777777" w:rsidR="002F646A" w:rsidRPr="001F436C" w:rsidRDefault="002F646A" w:rsidP="00F0626A">
      <w:pPr>
        <w:pStyle w:val="NoSpacing"/>
        <w:rPr>
          <w:b/>
          <w:sz w:val="24"/>
          <w:szCs w:val="24"/>
        </w:rPr>
      </w:pPr>
    </w:p>
    <w:p w14:paraId="5C44A100" w14:textId="4ACD1393" w:rsidR="00F02AB0" w:rsidRPr="001F436C" w:rsidRDefault="00CA5C11" w:rsidP="00F0626A">
      <w:pPr>
        <w:pStyle w:val="NoSpacing"/>
        <w:rPr>
          <w:b/>
          <w:sz w:val="24"/>
          <w:szCs w:val="24"/>
        </w:rPr>
      </w:pPr>
      <w:r w:rsidRPr="001F436C">
        <w:rPr>
          <w:b/>
          <w:sz w:val="24"/>
          <w:szCs w:val="24"/>
        </w:rPr>
        <w:t xml:space="preserve">What </w:t>
      </w:r>
      <w:r w:rsidR="00EA6217" w:rsidRPr="001F436C">
        <w:rPr>
          <w:b/>
          <w:sz w:val="24"/>
          <w:szCs w:val="24"/>
        </w:rPr>
        <w:t xml:space="preserve">Direct Support Professionals </w:t>
      </w:r>
      <w:r w:rsidRPr="001F436C">
        <w:rPr>
          <w:b/>
          <w:sz w:val="24"/>
          <w:szCs w:val="24"/>
        </w:rPr>
        <w:t xml:space="preserve">Are Asking </w:t>
      </w:r>
      <w:proofErr w:type="gramStart"/>
      <w:r w:rsidRPr="001F436C">
        <w:rPr>
          <w:b/>
          <w:sz w:val="24"/>
          <w:szCs w:val="24"/>
        </w:rPr>
        <w:t>For</w:t>
      </w:r>
      <w:proofErr w:type="gramEnd"/>
    </w:p>
    <w:p w14:paraId="23592BF5" w14:textId="77777777" w:rsidR="004E30F6" w:rsidRPr="001F436C" w:rsidRDefault="004E30F6" w:rsidP="00F0626A">
      <w:pPr>
        <w:pStyle w:val="NoSpacing"/>
        <w:rPr>
          <w:sz w:val="24"/>
          <w:szCs w:val="24"/>
        </w:rPr>
      </w:pPr>
    </w:p>
    <w:p w14:paraId="4FE15BA2" w14:textId="6724C4DB" w:rsidR="00F02AB0" w:rsidRDefault="00631CC3" w:rsidP="00F0626A">
      <w:pPr>
        <w:pStyle w:val="NoSpacing"/>
        <w:rPr>
          <w:sz w:val="24"/>
          <w:szCs w:val="24"/>
        </w:rPr>
      </w:pPr>
      <w:r>
        <w:rPr>
          <w:sz w:val="24"/>
          <w:szCs w:val="24"/>
        </w:rPr>
        <w:t>Direct support professionals overwhelmingly state that while their work is rewarding, low pay and a lack of advancement opportunities</w:t>
      </w:r>
      <w:r w:rsidR="00F12523">
        <w:rPr>
          <w:sz w:val="24"/>
          <w:szCs w:val="24"/>
        </w:rPr>
        <w:t xml:space="preserve"> make it difficult to stay in the profession.</w:t>
      </w:r>
      <w:r>
        <w:rPr>
          <w:sz w:val="24"/>
          <w:szCs w:val="24"/>
        </w:rPr>
        <w:t xml:space="preserve"> </w:t>
      </w:r>
      <w:r w:rsidR="00F40974">
        <w:rPr>
          <w:sz w:val="24"/>
          <w:szCs w:val="24"/>
        </w:rPr>
        <w:t>Systematic changes are needed</w:t>
      </w:r>
      <w:r w:rsidR="00F00266">
        <w:rPr>
          <w:sz w:val="24"/>
          <w:szCs w:val="24"/>
        </w:rPr>
        <w:t xml:space="preserve"> to professionalize the direct support workforce</w:t>
      </w:r>
      <w:r w:rsidR="008D5210">
        <w:rPr>
          <w:sz w:val="24"/>
          <w:szCs w:val="24"/>
        </w:rPr>
        <w:t xml:space="preserve"> in order to attract and retain high-quality workers. </w:t>
      </w:r>
      <w:r w:rsidR="006F5820">
        <w:rPr>
          <w:sz w:val="24"/>
          <w:szCs w:val="24"/>
        </w:rPr>
        <w:t xml:space="preserve">Proposals </w:t>
      </w:r>
      <w:r w:rsidR="005B370D">
        <w:rPr>
          <w:sz w:val="24"/>
          <w:szCs w:val="24"/>
        </w:rPr>
        <w:t xml:space="preserve">developed by the Governor’s Task Force on Caregiving </w:t>
      </w:r>
      <w:r w:rsidR="006F5820">
        <w:rPr>
          <w:sz w:val="24"/>
          <w:szCs w:val="24"/>
        </w:rPr>
        <w:t>offer</w:t>
      </w:r>
      <w:r w:rsidR="005B370D">
        <w:rPr>
          <w:sz w:val="24"/>
          <w:szCs w:val="24"/>
        </w:rPr>
        <w:t xml:space="preserve"> a road map to move forward. Direct support professional</w:t>
      </w:r>
      <w:r w:rsidR="00247844">
        <w:rPr>
          <w:sz w:val="24"/>
          <w:szCs w:val="24"/>
        </w:rPr>
        <w:t>s</w:t>
      </w:r>
      <w:r w:rsidR="005B370D">
        <w:rPr>
          <w:sz w:val="24"/>
          <w:szCs w:val="24"/>
        </w:rPr>
        <w:t xml:space="preserve"> are asking policymakers to act on the following proposals:</w:t>
      </w:r>
    </w:p>
    <w:p w14:paraId="70BBD4E7" w14:textId="70E3A3D7" w:rsidR="005B370D" w:rsidRDefault="005B370D" w:rsidP="00F0626A">
      <w:pPr>
        <w:pStyle w:val="NoSpacing"/>
        <w:rPr>
          <w:sz w:val="24"/>
          <w:szCs w:val="24"/>
        </w:rPr>
      </w:pPr>
    </w:p>
    <w:p w14:paraId="3A316ED3" w14:textId="77777777" w:rsidR="00A46623" w:rsidRPr="00A46623" w:rsidRDefault="00A46623" w:rsidP="00A46623">
      <w:pPr>
        <w:pStyle w:val="ListParagraph"/>
        <w:numPr>
          <w:ilvl w:val="0"/>
          <w:numId w:val="15"/>
        </w:numPr>
        <w:spacing w:after="0" w:line="240" w:lineRule="auto"/>
        <w:rPr>
          <w:rFonts w:ascii="Times New Roman" w:eastAsia="Times New Roman" w:hAnsi="Times New Roman" w:cs="Times New Roman"/>
          <w:sz w:val="24"/>
          <w:szCs w:val="24"/>
        </w:rPr>
      </w:pPr>
      <w:r w:rsidRPr="00A46623">
        <w:rPr>
          <w:rFonts w:ascii="Calibri" w:eastAsia="Times New Roman" w:hAnsi="Calibri" w:cs="Times New Roman"/>
          <w:color w:val="222222"/>
          <w:sz w:val="24"/>
          <w:szCs w:val="24"/>
          <w:shd w:val="clear" w:color="auto" w:fill="FFFFFF"/>
        </w:rPr>
        <w:t>Reform the way providers are paid within Wisconsin’s long-term care system to reimburse them for actual costs of direct care, with a rate that reflects the dignity and importance of the work and that allows them to not only compete with other employers for qualified candidates in their communities but to pay workers a living wage</w:t>
      </w:r>
    </w:p>
    <w:p w14:paraId="77888ED7" w14:textId="77777777" w:rsidR="00A46623" w:rsidRDefault="00A46623" w:rsidP="00A46623">
      <w:pPr>
        <w:pStyle w:val="NoSpacing"/>
        <w:ind w:left="720"/>
        <w:rPr>
          <w:sz w:val="24"/>
          <w:szCs w:val="24"/>
        </w:rPr>
      </w:pPr>
    </w:p>
    <w:p w14:paraId="6B99C035" w14:textId="2E4DBE41" w:rsidR="00CE7399" w:rsidRDefault="00CE7399" w:rsidP="009C1A83">
      <w:pPr>
        <w:pStyle w:val="NoSpacing"/>
        <w:numPr>
          <w:ilvl w:val="0"/>
          <w:numId w:val="15"/>
        </w:numPr>
        <w:rPr>
          <w:sz w:val="24"/>
          <w:szCs w:val="24"/>
        </w:rPr>
      </w:pPr>
      <w:r>
        <w:rPr>
          <w:sz w:val="24"/>
          <w:szCs w:val="24"/>
        </w:rPr>
        <w:t xml:space="preserve">Statewide Direct Support Professional Training, which would create a career ladder leading to a CNA certification </w:t>
      </w:r>
    </w:p>
    <w:p w14:paraId="3CABC43E" w14:textId="77777777" w:rsidR="00CE7399" w:rsidRDefault="00CE7399" w:rsidP="00CE7399">
      <w:pPr>
        <w:pStyle w:val="NoSpacing"/>
        <w:ind w:left="720"/>
        <w:rPr>
          <w:sz w:val="24"/>
          <w:szCs w:val="24"/>
        </w:rPr>
      </w:pPr>
    </w:p>
    <w:p w14:paraId="68116E1B" w14:textId="415D2B2A" w:rsidR="005B370D" w:rsidRPr="00A46623" w:rsidRDefault="001477F1" w:rsidP="00A46623">
      <w:pPr>
        <w:pStyle w:val="NoSpacing"/>
        <w:numPr>
          <w:ilvl w:val="0"/>
          <w:numId w:val="15"/>
        </w:numPr>
        <w:rPr>
          <w:sz w:val="24"/>
          <w:szCs w:val="24"/>
        </w:rPr>
      </w:pPr>
      <w:r>
        <w:rPr>
          <w:sz w:val="24"/>
          <w:szCs w:val="24"/>
        </w:rPr>
        <w:t xml:space="preserve">Public Assistance Earnings Disregard, which will allow direct support professionals to take on more hours without losing access to needed public benefits </w:t>
      </w:r>
    </w:p>
    <w:p w14:paraId="3F358E9A" w14:textId="77777777" w:rsidR="006E60C8" w:rsidRDefault="006E60C8" w:rsidP="006E60C8">
      <w:pPr>
        <w:pStyle w:val="NoSpacing"/>
        <w:ind w:left="360"/>
        <w:rPr>
          <w:sz w:val="24"/>
          <w:szCs w:val="24"/>
        </w:rPr>
      </w:pPr>
    </w:p>
    <w:p w14:paraId="0267BFC9" w14:textId="16E187B8" w:rsidR="006E60C8" w:rsidRPr="001F436C" w:rsidRDefault="006E60C8" w:rsidP="009C1A83">
      <w:pPr>
        <w:pStyle w:val="NoSpacing"/>
        <w:numPr>
          <w:ilvl w:val="0"/>
          <w:numId w:val="15"/>
        </w:numPr>
        <w:rPr>
          <w:sz w:val="24"/>
          <w:szCs w:val="24"/>
        </w:rPr>
      </w:pPr>
      <w:r>
        <w:rPr>
          <w:sz w:val="24"/>
          <w:szCs w:val="24"/>
        </w:rPr>
        <w:t xml:space="preserve">Continuation of the Family Care Direct Care </w:t>
      </w:r>
      <w:r w:rsidR="00A705E3">
        <w:rPr>
          <w:sz w:val="24"/>
          <w:szCs w:val="24"/>
        </w:rPr>
        <w:t>W</w:t>
      </w:r>
      <w:r>
        <w:rPr>
          <w:sz w:val="24"/>
          <w:szCs w:val="24"/>
        </w:rPr>
        <w:t xml:space="preserve">orker </w:t>
      </w:r>
      <w:r w:rsidR="00A705E3">
        <w:rPr>
          <w:sz w:val="24"/>
          <w:szCs w:val="24"/>
        </w:rPr>
        <w:t>F</w:t>
      </w:r>
      <w:r>
        <w:rPr>
          <w:sz w:val="24"/>
          <w:szCs w:val="24"/>
        </w:rPr>
        <w:t xml:space="preserve">und, which provides bonuses to direct support professionals </w:t>
      </w:r>
    </w:p>
    <w:p w14:paraId="38BFF343" w14:textId="77777777" w:rsidR="004400FD" w:rsidRPr="001F436C" w:rsidRDefault="004400FD" w:rsidP="00F0626A">
      <w:pPr>
        <w:pStyle w:val="NoSpacing"/>
        <w:rPr>
          <w:b/>
          <w:sz w:val="24"/>
          <w:szCs w:val="24"/>
        </w:rPr>
      </w:pPr>
    </w:p>
    <w:p w14:paraId="710CDF79" w14:textId="17B4DA2A" w:rsidR="00F17B37" w:rsidRDefault="00F17B37" w:rsidP="00917D59">
      <w:pPr>
        <w:pStyle w:val="NoSpacing"/>
        <w:jc w:val="center"/>
        <w:rPr>
          <w:rFonts w:ascii="Arial Narrow" w:hAnsi="Arial Narrow"/>
          <w:b/>
          <w:sz w:val="24"/>
          <w:szCs w:val="24"/>
          <w:u w:val="single"/>
        </w:rPr>
      </w:pPr>
    </w:p>
    <w:p w14:paraId="469C5807" w14:textId="77777777" w:rsidR="00F17B37" w:rsidRDefault="00F17B37" w:rsidP="00917D59">
      <w:pPr>
        <w:pStyle w:val="NoSpacing"/>
        <w:jc w:val="center"/>
        <w:rPr>
          <w:rFonts w:ascii="Arial Narrow" w:hAnsi="Arial Narrow"/>
          <w:b/>
          <w:sz w:val="24"/>
          <w:szCs w:val="24"/>
          <w:u w:val="single"/>
        </w:rPr>
      </w:pPr>
    </w:p>
    <w:p w14:paraId="76E9EA11" w14:textId="77777777" w:rsidR="00F17B37" w:rsidRDefault="00F17B37" w:rsidP="00917D59">
      <w:pPr>
        <w:pStyle w:val="NoSpacing"/>
        <w:jc w:val="center"/>
        <w:rPr>
          <w:rFonts w:ascii="Arial Narrow" w:hAnsi="Arial Narrow"/>
          <w:b/>
          <w:sz w:val="24"/>
          <w:szCs w:val="24"/>
          <w:u w:val="single"/>
        </w:rPr>
      </w:pPr>
    </w:p>
    <w:p w14:paraId="06C5931A" w14:textId="77777777" w:rsidR="00F17B37" w:rsidRDefault="00F17B37" w:rsidP="00917D59">
      <w:pPr>
        <w:pStyle w:val="NoSpacing"/>
        <w:jc w:val="center"/>
        <w:rPr>
          <w:rFonts w:ascii="Arial Narrow" w:hAnsi="Arial Narrow"/>
          <w:b/>
          <w:sz w:val="24"/>
          <w:szCs w:val="24"/>
          <w:u w:val="single"/>
        </w:rPr>
      </w:pPr>
    </w:p>
    <w:p w14:paraId="64A908C3" w14:textId="77777777" w:rsidR="00F17B37" w:rsidRDefault="00F17B37" w:rsidP="00917D59">
      <w:pPr>
        <w:pStyle w:val="NoSpacing"/>
        <w:jc w:val="center"/>
        <w:rPr>
          <w:rFonts w:ascii="Arial Narrow" w:hAnsi="Arial Narrow"/>
          <w:b/>
          <w:sz w:val="24"/>
          <w:szCs w:val="24"/>
          <w:u w:val="single"/>
        </w:rPr>
      </w:pPr>
    </w:p>
    <w:p w14:paraId="43C20325" w14:textId="77777777" w:rsidR="00F17B37" w:rsidRDefault="00F17B37" w:rsidP="00917D59">
      <w:pPr>
        <w:pStyle w:val="NoSpacing"/>
        <w:jc w:val="center"/>
        <w:rPr>
          <w:rFonts w:ascii="Arial Narrow" w:hAnsi="Arial Narrow"/>
          <w:b/>
          <w:sz w:val="24"/>
          <w:szCs w:val="24"/>
          <w:u w:val="single"/>
        </w:rPr>
      </w:pPr>
    </w:p>
    <w:p w14:paraId="04FF8846" w14:textId="77777777" w:rsidR="00F17B37" w:rsidRDefault="00F17B37" w:rsidP="00917D59">
      <w:pPr>
        <w:pStyle w:val="NoSpacing"/>
        <w:jc w:val="center"/>
        <w:rPr>
          <w:rFonts w:ascii="Arial Narrow" w:hAnsi="Arial Narrow"/>
          <w:b/>
          <w:sz w:val="24"/>
          <w:szCs w:val="24"/>
          <w:u w:val="single"/>
        </w:rPr>
      </w:pPr>
    </w:p>
    <w:p w14:paraId="5A1B9322" w14:textId="77777777" w:rsidR="00F17B37" w:rsidRDefault="00F17B37" w:rsidP="00917D59">
      <w:pPr>
        <w:pStyle w:val="NoSpacing"/>
        <w:jc w:val="center"/>
        <w:rPr>
          <w:rFonts w:ascii="Arial Narrow" w:hAnsi="Arial Narrow"/>
          <w:b/>
          <w:sz w:val="24"/>
          <w:szCs w:val="24"/>
          <w:u w:val="single"/>
        </w:rPr>
      </w:pPr>
    </w:p>
    <w:p w14:paraId="6EE877E9" w14:textId="77777777" w:rsidR="00F17B37" w:rsidRDefault="00F17B37" w:rsidP="00917D59">
      <w:pPr>
        <w:pStyle w:val="NoSpacing"/>
        <w:jc w:val="center"/>
        <w:rPr>
          <w:rFonts w:ascii="Arial Narrow" w:hAnsi="Arial Narrow"/>
          <w:b/>
          <w:sz w:val="24"/>
          <w:szCs w:val="24"/>
          <w:u w:val="single"/>
        </w:rPr>
      </w:pPr>
    </w:p>
    <w:p w14:paraId="674D0972" w14:textId="77777777" w:rsidR="00F17B37" w:rsidRDefault="00F17B37" w:rsidP="00917D59">
      <w:pPr>
        <w:pStyle w:val="NoSpacing"/>
        <w:jc w:val="center"/>
        <w:rPr>
          <w:rFonts w:ascii="Arial Narrow" w:hAnsi="Arial Narrow"/>
          <w:b/>
          <w:sz w:val="24"/>
          <w:szCs w:val="24"/>
          <w:u w:val="single"/>
        </w:rPr>
      </w:pPr>
    </w:p>
    <w:p w14:paraId="11705886" w14:textId="77777777" w:rsidR="00F17B37" w:rsidRDefault="00F17B37" w:rsidP="00917D59">
      <w:pPr>
        <w:pStyle w:val="NoSpacing"/>
        <w:jc w:val="center"/>
        <w:rPr>
          <w:rFonts w:ascii="Arial Narrow" w:hAnsi="Arial Narrow"/>
          <w:b/>
          <w:sz w:val="24"/>
          <w:szCs w:val="24"/>
          <w:u w:val="single"/>
        </w:rPr>
      </w:pPr>
    </w:p>
    <w:p w14:paraId="300BAB03" w14:textId="77777777" w:rsidR="00F17B37" w:rsidRDefault="00F17B37" w:rsidP="009B37F1">
      <w:pPr>
        <w:pStyle w:val="NoSpacing"/>
        <w:rPr>
          <w:rFonts w:ascii="Arial Narrow" w:hAnsi="Arial Narrow"/>
          <w:b/>
          <w:sz w:val="24"/>
          <w:szCs w:val="24"/>
          <w:u w:val="single"/>
        </w:rPr>
      </w:pPr>
    </w:p>
    <w:p w14:paraId="4AAC4D5C" w14:textId="77777777" w:rsidR="00F17B37" w:rsidRDefault="00F17B37" w:rsidP="00917D59">
      <w:pPr>
        <w:pStyle w:val="NoSpacing"/>
        <w:jc w:val="center"/>
        <w:rPr>
          <w:rFonts w:ascii="Arial Narrow" w:hAnsi="Arial Narrow"/>
          <w:b/>
          <w:sz w:val="24"/>
          <w:szCs w:val="24"/>
          <w:u w:val="single"/>
        </w:rPr>
      </w:pPr>
    </w:p>
    <w:p w14:paraId="4F208FE6" w14:textId="77777777" w:rsidR="00F17B37" w:rsidRDefault="00F17B37" w:rsidP="00917D59">
      <w:pPr>
        <w:pStyle w:val="NoSpacing"/>
        <w:jc w:val="center"/>
        <w:rPr>
          <w:rFonts w:ascii="Arial Narrow" w:hAnsi="Arial Narrow"/>
          <w:b/>
          <w:sz w:val="24"/>
          <w:szCs w:val="24"/>
          <w:u w:val="single"/>
        </w:rPr>
      </w:pPr>
    </w:p>
    <w:p w14:paraId="2F3D3D5A" w14:textId="77777777" w:rsidR="00F17B37" w:rsidRDefault="00F17B37" w:rsidP="00917D59">
      <w:pPr>
        <w:pStyle w:val="NoSpacing"/>
        <w:jc w:val="center"/>
        <w:rPr>
          <w:rFonts w:ascii="Arial Narrow" w:hAnsi="Arial Narrow"/>
          <w:b/>
          <w:sz w:val="24"/>
          <w:szCs w:val="24"/>
          <w:u w:val="single"/>
        </w:rPr>
      </w:pPr>
    </w:p>
    <w:p w14:paraId="5B677485" w14:textId="77777777" w:rsidR="00F17B37" w:rsidRDefault="00F17B37" w:rsidP="00917D59">
      <w:pPr>
        <w:pStyle w:val="NoSpacing"/>
        <w:jc w:val="center"/>
        <w:rPr>
          <w:rFonts w:ascii="Arial Narrow" w:hAnsi="Arial Narrow"/>
          <w:b/>
          <w:sz w:val="24"/>
          <w:szCs w:val="24"/>
          <w:u w:val="single"/>
        </w:rPr>
      </w:pPr>
    </w:p>
    <w:p w14:paraId="2AEDEF74" w14:textId="77777777" w:rsidR="00F17B37" w:rsidRDefault="00F17B37" w:rsidP="00917D59">
      <w:pPr>
        <w:pStyle w:val="NoSpacing"/>
        <w:jc w:val="center"/>
        <w:rPr>
          <w:rFonts w:ascii="Arial Narrow" w:hAnsi="Arial Narrow"/>
          <w:b/>
          <w:sz w:val="24"/>
          <w:szCs w:val="24"/>
          <w:u w:val="single"/>
        </w:rPr>
      </w:pPr>
    </w:p>
    <w:p w14:paraId="39833007" w14:textId="77777777" w:rsidR="00917D59" w:rsidRDefault="00917D59" w:rsidP="00917D59">
      <w:pPr>
        <w:pStyle w:val="NoSpacing"/>
        <w:rPr>
          <w:rFonts w:ascii="Arial Narrow" w:hAnsi="Arial Narrow"/>
          <w:b/>
        </w:rPr>
      </w:pPr>
    </w:p>
    <w:sectPr w:rsidR="00917D59" w:rsidSect="0036669A">
      <w:headerReference w:type="first" r:id="rId11"/>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82175" w14:textId="77777777" w:rsidR="005F16C1" w:rsidRDefault="005F16C1" w:rsidP="008B082C">
      <w:pPr>
        <w:spacing w:after="0" w:line="240" w:lineRule="auto"/>
      </w:pPr>
      <w:r>
        <w:separator/>
      </w:r>
    </w:p>
  </w:endnote>
  <w:endnote w:type="continuationSeparator" w:id="0">
    <w:p w14:paraId="1EDCFEF4" w14:textId="77777777" w:rsidR="005F16C1" w:rsidRDefault="005F16C1" w:rsidP="008B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E5D70" w14:textId="77777777" w:rsidR="005F16C1" w:rsidRDefault="005F16C1" w:rsidP="008B082C">
      <w:pPr>
        <w:spacing w:after="0" w:line="240" w:lineRule="auto"/>
      </w:pPr>
      <w:r>
        <w:separator/>
      </w:r>
    </w:p>
  </w:footnote>
  <w:footnote w:type="continuationSeparator" w:id="0">
    <w:p w14:paraId="4C087269" w14:textId="77777777" w:rsidR="005F16C1" w:rsidRDefault="005F16C1" w:rsidP="008B082C">
      <w:pPr>
        <w:spacing w:after="0" w:line="240" w:lineRule="auto"/>
      </w:pPr>
      <w:r>
        <w:continuationSeparator/>
      </w:r>
    </w:p>
  </w:footnote>
  <w:footnote w:id="1">
    <w:p w14:paraId="26303EB1" w14:textId="31651561" w:rsidR="00A5601C" w:rsidRDefault="00A5601C">
      <w:pPr>
        <w:pStyle w:val="FootnoteText"/>
      </w:pPr>
      <w:r>
        <w:rPr>
          <w:rStyle w:val="FootnoteReference"/>
        </w:rPr>
        <w:footnoteRef/>
      </w:r>
      <w:r>
        <w:t xml:space="preserve"> </w:t>
      </w:r>
      <w:hyperlink r:id="rId1" w:history="1">
        <w:r w:rsidRPr="00403A07">
          <w:rPr>
            <w:rStyle w:val="Hyperlink"/>
          </w:rPr>
          <w:t>https://phinational.org/policy-research/workforce-data-center/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9BB8" w14:textId="305F4B2A" w:rsidR="0036669A" w:rsidRDefault="009A6296" w:rsidP="007B000C">
    <w:pPr>
      <w:pStyle w:val="Header"/>
      <w:tabs>
        <w:tab w:val="clear" w:pos="4680"/>
        <w:tab w:val="clear" w:pos="9360"/>
        <w:tab w:val="center" w:pos="5040"/>
      </w:tabs>
      <w:jc w:val="center"/>
    </w:pPr>
    <w:r>
      <w:rPr>
        <w:noProof/>
      </w:rPr>
      <w:drawing>
        <wp:inline distT="0" distB="0" distL="0" distR="0" wp14:anchorId="52D34F7E" wp14:editId="04489D30">
          <wp:extent cx="5910682" cy="141375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1-15 at 9.49.34 AM.png"/>
                  <pic:cNvPicPr/>
                </pic:nvPicPr>
                <pic:blipFill>
                  <a:blip r:embed="rId1">
                    <a:extLst>
                      <a:ext uri="{28A0092B-C50C-407E-A947-70E740481C1C}">
                        <a14:useLocalDpi xmlns:a14="http://schemas.microsoft.com/office/drawing/2010/main" val="0"/>
                      </a:ext>
                    </a:extLst>
                  </a:blip>
                  <a:stretch>
                    <a:fillRect/>
                  </a:stretch>
                </pic:blipFill>
                <pic:spPr>
                  <a:xfrm>
                    <a:off x="0" y="0"/>
                    <a:ext cx="5910682" cy="1413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B643A"/>
    <w:multiLevelType w:val="hybridMultilevel"/>
    <w:tmpl w:val="AE50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2AD8"/>
    <w:multiLevelType w:val="hybridMultilevel"/>
    <w:tmpl w:val="96D8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18FA"/>
    <w:multiLevelType w:val="hybridMultilevel"/>
    <w:tmpl w:val="B202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773AD"/>
    <w:multiLevelType w:val="hybridMultilevel"/>
    <w:tmpl w:val="EF6E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768D3"/>
    <w:multiLevelType w:val="hybridMultilevel"/>
    <w:tmpl w:val="6DB2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65DEE"/>
    <w:multiLevelType w:val="hybridMultilevel"/>
    <w:tmpl w:val="6DAA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515DB"/>
    <w:multiLevelType w:val="hybridMultilevel"/>
    <w:tmpl w:val="384A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F7C87"/>
    <w:multiLevelType w:val="multilevel"/>
    <w:tmpl w:val="207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123A3"/>
    <w:multiLevelType w:val="hybridMultilevel"/>
    <w:tmpl w:val="BE9C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72B03"/>
    <w:multiLevelType w:val="multilevel"/>
    <w:tmpl w:val="8C26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A0D45"/>
    <w:multiLevelType w:val="hybridMultilevel"/>
    <w:tmpl w:val="8E34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61A2D"/>
    <w:multiLevelType w:val="hybridMultilevel"/>
    <w:tmpl w:val="D820F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CB1847"/>
    <w:multiLevelType w:val="hybridMultilevel"/>
    <w:tmpl w:val="01DA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A752D"/>
    <w:multiLevelType w:val="hybridMultilevel"/>
    <w:tmpl w:val="17DEE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780080"/>
    <w:multiLevelType w:val="hybridMultilevel"/>
    <w:tmpl w:val="CFE2A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14"/>
  </w:num>
  <w:num w:numId="4">
    <w:abstractNumId w:val="7"/>
  </w:num>
  <w:num w:numId="5">
    <w:abstractNumId w:val="9"/>
  </w:num>
  <w:num w:numId="6">
    <w:abstractNumId w:val="2"/>
  </w:num>
  <w:num w:numId="7">
    <w:abstractNumId w:val="10"/>
  </w:num>
  <w:num w:numId="8">
    <w:abstractNumId w:val="8"/>
  </w:num>
  <w:num w:numId="9">
    <w:abstractNumId w:val="0"/>
  </w:num>
  <w:num w:numId="10">
    <w:abstractNumId w:val="4"/>
  </w:num>
  <w:num w:numId="11">
    <w:abstractNumId w:val="3"/>
  </w:num>
  <w:num w:numId="12">
    <w:abstractNumId w:val="12"/>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50"/>
    <w:rsid w:val="00025423"/>
    <w:rsid w:val="000754BE"/>
    <w:rsid w:val="0007579B"/>
    <w:rsid w:val="0009149D"/>
    <w:rsid w:val="00094D01"/>
    <w:rsid w:val="000968A9"/>
    <w:rsid w:val="00097E12"/>
    <w:rsid w:val="000A4B2F"/>
    <w:rsid w:val="000B1327"/>
    <w:rsid w:val="000B29BC"/>
    <w:rsid w:val="000C1057"/>
    <w:rsid w:val="000C7483"/>
    <w:rsid w:val="000D2855"/>
    <w:rsid w:val="000D49B5"/>
    <w:rsid w:val="000D59B5"/>
    <w:rsid w:val="000E13EC"/>
    <w:rsid w:val="000F43D4"/>
    <w:rsid w:val="000F5D28"/>
    <w:rsid w:val="0012131E"/>
    <w:rsid w:val="00127E81"/>
    <w:rsid w:val="00133500"/>
    <w:rsid w:val="00144C0F"/>
    <w:rsid w:val="00146EF5"/>
    <w:rsid w:val="001477F1"/>
    <w:rsid w:val="001506AF"/>
    <w:rsid w:val="00155FB2"/>
    <w:rsid w:val="001608B6"/>
    <w:rsid w:val="0016240B"/>
    <w:rsid w:val="001671D5"/>
    <w:rsid w:val="001728B2"/>
    <w:rsid w:val="00174DA4"/>
    <w:rsid w:val="0018085C"/>
    <w:rsid w:val="00187BAA"/>
    <w:rsid w:val="001974F7"/>
    <w:rsid w:val="001A16CF"/>
    <w:rsid w:val="001A37B2"/>
    <w:rsid w:val="001D244F"/>
    <w:rsid w:val="001D30D0"/>
    <w:rsid w:val="001D7F77"/>
    <w:rsid w:val="001E56F8"/>
    <w:rsid w:val="001F436C"/>
    <w:rsid w:val="00203CF2"/>
    <w:rsid w:val="002176E5"/>
    <w:rsid w:val="002456AE"/>
    <w:rsid w:val="00247844"/>
    <w:rsid w:val="002625F6"/>
    <w:rsid w:val="00271CB5"/>
    <w:rsid w:val="002774DF"/>
    <w:rsid w:val="00285B33"/>
    <w:rsid w:val="002A05F2"/>
    <w:rsid w:val="002A2B14"/>
    <w:rsid w:val="002A3AB9"/>
    <w:rsid w:val="002B07D3"/>
    <w:rsid w:val="002D098F"/>
    <w:rsid w:val="002F07D0"/>
    <w:rsid w:val="002F5E11"/>
    <w:rsid w:val="002F646A"/>
    <w:rsid w:val="00300C0B"/>
    <w:rsid w:val="003171F9"/>
    <w:rsid w:val="00324CD2"/>
    <w:rsid w:val="00330B52"/>
    <w:rsid w:val="00337EDC"/>
    <w:rsid w:val="00340CD0"/>
    <w:rsid w:val="00355086"/>
    <w:rsid w:val="0036669A"/>
    <w:rsid w:val="00371BD1"/>
    <w:rsid w:val="00374BC0"/>
    <w:rsid w:val="00382C28"/>
    <w:rsid w:val="00391872"/>
    <w:rsid w:val="0039221B"/>
    <w:rsid w:val="003924B7"/>
    <w:rsid w:val="003958F6"/>
    <w:rsid w:val="00396A26"/>
    <w:rsid w:val="003B55A3"/>
    <w:rsid w:val="003D147A"/>
    <w:rsid w:val="003D54F9"/>
    <w:rsid w:val="003D6274"/>
    <w:rsid w:val="003E302C"/>
    <w:rsid w:val="003E7070"/>
    <w:rsid w:val="00407CFD"/>
    <w:rsid w:val="00420357"/>
    <w:rsid w:val="00426547"/>
    <w:rsid w:val="00430378"/>
    <w:rsid w:val="00432AE5"/>
    <w:rsid w:val="004400FD"/>
    <w:rsid w:val="00452825"/>
    <w:rsid w:val="0048269D"/>
    <w:rsid w:val="004A3A35"/>
    <w:rsid w:val="004A3A83"/>
    <w:rsid w:val="004B7112"/>
    <w:rsid w:val="004C5775"/>
    <w:rsid w:val="004C6D32"/>
    <w:rsid w:val="004D20B6"/>
    <w:rsid w:val="004D5EDA"/>
    <w:rsid w:val="004E30F6"/>
    <w:rsid w:val="005122E0"/>
    <w:rsid w:val="0052248A"/>
    <w:rsid w:val="00533927"/>
    <w:rsid w:val="00542770"/>
    <w:rsid w:val="005434BC"/>
    <w:rsid w:val="00552E8E"/>
    <w:rsid w:val="00554E36"/>
    <w:rsid w:val="005617E8"/>
    <w:rsid w:val="005635F9"/>
    <w:rsid w:val="0056716C"/>
    <w:rsid w:val="00580203"/>
    <w:rsid w:val="00592BB0"/>
    <w:rsid w:val="00594698"/>
    <w:rsid w:val="005958A9"/>
    <w:rsid w:val="005A5C28"/>
    <w:rsid w:val="005B370D"/>
    <w:rsid w:val="005B447B"/>
    <w:rsid w:val="005B68AA"/>
    <w:rsid w:val="005C4558"/>
    <w:rsid w:val="005C7A0A"/>
    <w:rsid w:val="005F16C1"/>
    <w:rsid w:val="005F2E34"/>
    <w:rsid w:val="00611E35"/>
    <w:rsid w:val="00631CC3"/>
    <w:rsid w:val="006322A3"/>
    <w:rsid w:val="006431E3"/>
    <w:rsid w:val="00645DCC"/>
    <w:rsid w:val="0065527E"/>
    <w:rsid w:val="006851FA"/>
    <w:rsid w:val="00685A25"/>
    <w:rsid w:val="00687B8C"/>
    <w:rsid w:val="006953D9"/>
    <w:rsid w:val="006A3596"/>
    <w:rsid w:val="006B0A8F"/>
    <w:rsid w:val="006B6217"/>
    <w:rsid w:val="006D2D2F"/>
    <w:rsid w:val="006E5FB2"/>
    <w:rsid w:val="006E60C8"/>
    <w:rsid w:val="006F2260"/>
    <w:rsid w:val="006F338F"/>
    <w:rsid w:val="006F455E"/>
    <w:rsid w:val="006F5820"/>
    <w:rsid w:val="007078F5"/>
    <w:rsid w:val="007101B0"/>
    <w:rsid w:val="0072148D"/>
    <w:rsid w:val="00740004"/>
    <w:rsid w:val="00777362"/>
    <w:rsid w:val="00782FA6"/>
    <w:rsid w:val="00796F9C"/>
    <w:rsid w:val="007B000C"/>
    <w:rsid w:val="007B6028"/>
    <w:rsid w:val="007E3DDB"/>
    <w:rsid w:val="007F799B"/>
    <w:rsid w:val="008045B5"/>
    <w:rsid w:val="00822099"/>
    <w:rsid w:val="0082288C"/>
    <w:rsid w:val="00830A05"/>
    <w:rsid w:val="00833887"/>
    <w:rsid w:val="0084279E"/>
    <w:rsid w:val="008442F7"/>
    <w:rsid w:val="00846CE1"/>
    <w:rsid w:val="0085053B"/>
    <w:rsid w:val="0086163D"/>
    <w:rsid w:val="00872495"/>
    <w:rsid w:val="008B082C"/>
    <w:rsid w:val="008C2B6B"/>
    <w:rsid w:val="008D5210"/>
    <w:rsid w:val="008D533A"/>
    <w:rsid w:val="008F1EDA"/>
    <w:rsid w:val="008F7B05"/>
    <w:rsid w:val="00901C09"/>
    <w:rsid w:val="00902434"/>
    <w:rsid w:val="00904D00"/>
    <w:rsid w:val="00913622"/>
    <w:rsid w:val="009161A3"/>
    <w:rsid w:val="00917D59"/>
    <w:rsid w:val="00920DAD"/>
    <w:rsid w:val="00936631"/>
    <w:rsid w:val="009479A1"/>
    <w:rsid w:val="009508E4"/>
    <w:rsid w:val="00963483"/>
    <w:rsid w:val="00963B6A"/>
    <w:rsid w:val="00976B4B"/>
    <w:rsid w:val="00986604"/>
    <w:rsid w:val="00987493"/>
    <w:rsid w:val="0099447C"/>
    <w:rsid w:val="009A6296"/>
    <w:rsid w:val="009B37F1"/>
    <w:rsid w:val="009B50FC"/>
    <w:rsid w:val="009C1A83"/>
    <w:rsid w:val="009C3FDD"/>
    <w:rsid w:val="009D5F70"/>
    <w:rsid w:val="009D611E"/>
    <w:rsid w:val="009D6F79"/>
    <w:rsid w:val="009E49E2"/>
    <w:rsid w:val="009E4F12"/>
    <w:rsid w:val="009E5C49"/>
    <w:rsid w:val="00A11038"/>
    <w:rsid w:val="00A43C83"/>
    <w:rsid w:val="00A46623"/>
    <w:rsid w:val="00A475EB"/>
    <w:rsid w:val="00A5601C"/>
    <w:rsid w:val="00A62BF5"/>
    <w:rsid w:val="00A705E3"/>
    <w:rsid w:val="00A87926"/>
    <w:rsid w:val="00A87FD7"/>
    <w:rsid w:val="00A9234C"/>
    <w:rsid w:val="00A92E0E"/>
    <w:rsid w:val="00A93C4F"/>
    <w:rsid w:val="00AA52E0"/>
    <w:rsid w:val="00AA7735"/>
    <w:rsid w:val="00AC6F05"/>
    <w:rsid w:val="00AC7FAE"/>
    <w:rsid w:val="00AE6BE6"/>
    <w:rsid w:val="00AF2BB5"/>
    <w:rsid w:val="00B14169"/>
    <w:rsid w:val="00B17579"/>
    <w:rsid w:val="00B22202"/>
    <w:rsid w:val="00B434D2"/>
    <w:rsid w:val="00B557F8"/>
    <w:rsid w:val="00B66A87"/>
    <w:rsid w:val="00B74163"/>
    <w:rsid w:val="00B86ACA"/>
    <w:rsid w:val="00BA1383"/>
    <w:rsid w:val="00BA2550"/>
    <w:rsid w:val="00BA2722"/>
    <w:rsid w:val="00BC2182"/>
    <w:rsid w:val="00BC6666"/>
    <w:rsid w:val="00BC6F1A"/>
    <w:rsid w:val="00BC7FDC"/>
    <w:rsid w:val="00BD302E"/>
    <w:rsid w:val="00BD567F"/>
    <w:rsid w:val="00BE6FBD"/>
    <w:rsid w:val="00C0532B"/>
    <w:rsid w:val="00C0569C"/>
    <w:rsid w:val="00C12EBE"/>
    <w:rsid w:val="00C26DA0"/>
    <w:rsid w:val="00C30098"/>
    <w:rsid w:val="00C30188"/>
    <w:rsid w:val="00C461BC"/>
    <w:rsid w:val="00C71726"/>
    <w:rsid w:val="00C74DE6"/>
    <w:rsid w:val="00C8012F"/>
    <w:rsid w:val="00C80CC5"/>
    <w:rsid w:val="00C94F1B"/>
    <w:rsid w:val="00C95754"/>
    <w:rsid w:val="00CA5C11"/>
    <w:rsid w:val="00CB783F"/>
    <w:rsid w:val="00CE7399"/>
    <w:rsid w:val="00D00CF5"/>
    <w:rsid w:val="00D149DB"/>
    <w:rsid w:val="00D14BAB"/>
    <w:rsid w:val="00D14D56"/>
    <w:rsid w:val="00D23343"/>
    <w:rsid w:val="00D241B1"/>
    <w:rsid w:val="00D54327"/>
    <w:rsid w:val="00D55846"/>
    <w:rsid w:val="00D56190"/>
    <w:rsid w:val="00D60FF8"/>
    <w:rsid w:val="00D81BA3"/>
    <w:rsid w:val="00DA4CA8"/>
    <w:rsid w:val="00DB56BF"/>
    <w:rsid w:val="00DC50CA"/>
    <w:rsid w:val="00DF1634"/>
    <w:rsid w:val="00E02264"/>
    <w:rsid w:val="00E028E5"/>
    <w:rsid w:val="00E0326A"/>
    <w:rsid w:val="00E22709"/>
    <w:rsid w:val="00E255E2"/>
    <w:rsid w:val="00E25C0C"/>
    <w:rsid w:val="00E31992"/>
    <w:rsid w:val="00E3511F"/>
    <w:rsid w:val="00E46784"/>
    <w:rsid w:val="00E520D6"/>
    <w:rsid w:val="00E53DA4"/>
    <w:rsid w:val="00E56B47"/>
    <w:rsid w:val="00E5706D"/>
    <w:rsid w:val="00E61467"/>
    <w:rsid w:val="00E72404"/>
    <w:rsid w:val="00E765F0"/>
    <w:rsid w:val="00E86E20"/>
    <w:rsid w:val="00E93DE9"/>
    <w:rsid w:val="00E96895"/>
    <w:rsid w:val="00EA3159"/>
    <w:rsid w:val="00EA3280"/>
    <w:rsid w:val="00EA6217"/>
    <w:rsid w:val="00EA6BDA"/>
    <w:rsid w:val="00EB729E"/>
    <w:rsid w:val="00EC5D6B"/>
    <w:rsid w:val="00EC6D3F"/>
    <w:rsid w:val="00EF493A"/>
    <w:rsid w:val="00EF5BAF"/>
    <w:rsid w:val="00F00266"/>
    <w:rsid w:val="00F02AB0"/>
    <w:rsid w:val="00F03048"/>
    <w:rsid w:val="00F0626A"/>
    <w:rsid w:val="00F12523"/>
    <w:rsid w:val="00F17B37"/>
    <w:rsid w:val="00F21202"/>
    <w:rsid w:val="00F21354"/>
    <w:rsid w:val="00F33107"/>
    <w:rsid w:val="00F35B4E"/>
    <w:rsid w:val="00F40974"/>
    <w:rsid w:val="00F505EA"/>
    <w:rsid w:val="00F52D19"/>
    <w:rsid w:val="00F63264"/>
    <w:rsid w:val="00F92F95"/>
    <w:rsid w:val="00F94165"/>
    <w:rsid w:val="00FA0446"/>
    <w:rsid w:val="00FA1AE9"/>
    <w:rsid w:val="00FB6EFB"/>
    <w:rsid w:val="00FD4596"/>
    <w:rsid w:val="00FE762E"/>
    <w:rsid w:val="00FF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C728"/>
  <w15:docId w15:val="{652C0D57-8EAB-C946-A9F5-904D2BE9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F1EDA"/>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550"/>
    <w:pPr>
      <w:spacing w:after="0" w:line="240" w:lineRule="auto"/>
    </w:pPr>
  </w:style>
  <w:style w:type="paragraph" w:styleId="ListParagraph">
    <w:name w:val="List Paragraph"/>
    <w:basedOn w:val="Normal"/>
    <w:uiPriority w:val="34"/>
    <w:qFormat/>
    <w:rsid w:val="00BA2550"/>
    <w:pPr>
      <w:ind w:left="720"/>
      <w:contextualSpacing/>
    </w:pPr>
  </w:style>
  <w:style w:type="character" w:styleId="Hyperlink">
    <w:name w:val="Hyperlink"/>
    <w:basedOn w:val="DefaultParagraphFont"/>
    <w:uiPriority w:val="99"/>
    <w:unhideWhenUsed/>
    <w:rsid w:val="00F0626A"/>
    <w:rPr>
      <w:color w:val="0563C1" w:themeColor="hyperlink"/>
      <w:u w:val="single"/>
    </w:rPr>
  </w:style>
  <w:style w:type="paragraph" w:styleId="BalloonText">
    <w:name w:val="Balloon Text"/>
    <w:basedOn w:val="Normal"/>
    <w:link w:val="BalloonTextChar"/>
    <w:uiPriority w:val="99"/>
    <w:semiHidden/>
    <w:unhideWhenUsed/>
    <w:rsid w:val="0077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62"/>
    <w:rPr>
      <w:rFonts w:ascii="Tahoma" w:hAnsi="Tahoma" w:cs="Tahoma"/>
      <w:sz w:val="16"/>
      <w:szCs w:val="16"/>
    </w:rPr>
  </w:style>
  <w:style w:type="character" w:customStyle="1" w:styleId="Heading1Char">
    <w:name w:val="Heading 1 Char"/>
    <w:basedOn w:val="DefaultParagraphFont"/>
    <w:link w:val="Heading1"/>
    <w:uiPriority w:val="99"/>
    <w:rsid w:val="008F1EDA"/>
    <w:rPr>
      <w:rFonts w:ascii="Tahoma" w:eastAsia="Times New Roman" w:hAnsi="Tahoma" w:cs="Times New Roman"/>
      <w:b/>
      <w:caps/>
      <w:color w:val="333333"/>
      <w:sz w:val="44"/>
      <w:szCs w:val="32"/>
    </w:rPr>
  </w:style>
  <w:style w:type="paragraph" w:styleId="Header">
    <w:name w:val="header"/>
    <w:basedOn w:val="Normal"/>
    <w:link w:val="HeaderChar"/>
    <w:uiPriority w:val="99"/>
    <w:unhideWhenUsed/>
    <w:rsid w:val="008B0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82C"/>
  </w:style>
  <w:style w:type="paragraph" w:styleId="Footer">
    <w:name w:val="footer"/>
    <w:basedOn w:val="Normal"/>
    <w:link w:val="FooterChar"/>
    <w:uiPriority w:val="99"/>
    <w:unhideWhenUsed/>
    <w:rsid w:val="008B0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82C"/>
  </w:style>
  <w:style w:type="paragraph" w:styleId="FootnoteText">
    <w:name w:val="footnote text"/>
    <w:basedOn w:val="Normal"/>
    <w:link w:val="FootnoteTextChar"/>
    <w:uiPriority w:val="99"/>
    <w:semiHidden/>
    <w:unhideWhenUsed/>
    <w:rsid w:val="00A56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01C"/>
    <w:rPr>
      <w:sz w:val="20"/>
      <w:szCs w:val="20"/>
    </w:rPr>
  </w:style>
  <w:style w:type="character" w:styleId="FootnoteReference">
    <w:name w:val="footnote reference"/>
    <w:basedOn w:val="DefaultParagraphFont"/>
    <w:uiPriority w:val="99"/>
    <w:semiHidden/>
    <w:unhideWhenUsed/>
    <w:rsid w:val="00A5601C"/>
    <w:rPr>
      <w:vertAlign w:val="superscript"/>
    </w:rPr>
  </w:style>
  <w:style w:type="character" w:styleId="UnresolvedMention">
    <w:name w:val="Unresolved Mention"/>
    <w:basedOn w:val="DefaultParagraphFont"/>
    <w:uiPriority w:val="99"/>
    <w:semiHidden/>
    <w:unhideWhenUsed/>
    <w:rsid w:val="00A56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97433">
      <w:bodyDiv w:val="1"/>
      <w:marLeft w:val="0"/>
      <w:marRight w:val="0"/>
      <w:marTop w:val="0"/>
      <w:marBottom w:val="0"/>
      <w:divBdr>
        <w:top w:val="none" w:sz="0" w:space="0" w:color="auto"/>
        <w:left w:val="none" w:sz="0" w:space="0" w:color="auto"/>
        <w:bottom w:val="none" w:sz="0" w:space="0" w:color="auto"/>
        <w:right w:val="none" w:sz="0" w:space="0" w:color="auto"/>
      </w:divBdr>
    </w:div>
    <w:div w:id="1466892540">
      <w:bodyDiv w:val="1"/>
      <w:marLeft w:val="0"/>
      <w:marRight w:val="0"/>
      <w:marTop w:val="0"/>
      <w:marBottom w:val="0"/>
      <w:divBdr>
        <w:top w:val="none" w:sz="0" w:space="0" w:color="auto"/>
        <w:left w:val="none" w:sz="0" w:space="0" w:color="auto"/>
        <w:bottom w:val="none" w:sz="0" w:space="0" w:color="auto"/>
        <w:right w:val="none" w:sz="0" w:space="0" w:color="auto"/>
      </w:divBdr>
      <w:divsChild>
        <w:div w:id="364989891">
          <w:marLeft w:val="0"/>
          <w:marRight w:val="0"/>
          <w:marTop w:val="0"/>
          <w:marBottom w:val="0"/>
          <w:divBdr>
            <w:top w:val="none" w:sz="0" w:space="0" w:color="auto"/>
            <w:left w:val="none" w:sz="0" w:space="0" w:color="auto"/>
            <w:bottom w:val="none" w:sz="0" w:space="0" w:color="auto"/>
            <w:right w:val="none" w:sz="0" w:space="0" w:color="auto"/>
          </w:divBdr>
          <w:divsChild>
            <w:div w:id="824399472">
              <w:marLeft w:val="0"/>
              <w:marRight w:val="0"/>
              <w:marTop w:val="0"/>
              <w:marBottom w:val="0"/>
              <w:divBdr>
                <w:top w:val="none" w:sz="0" w:space="0" w:color="auto"/>
                <w:left w:val="none" w:sz="0" w:space="0" w:color="auto"/>
                <w:bottom w:val="none" w:sz="0" w:space="0" w:color="auto"/>
                <w:right w:val="none" w:sz="0" w:space="0" w:color="auto"/>
              </w:divBdr>
              <w:divsChild>
                <w:div w:id="1012687653">
                  <w:marLeft w:val="0"/>
                  <w:marRight w:val="0"/>
                  <w:marTop w:val="0"/>
                  <w:marBottom w:val="0"/>
                  <w:divBdr>
                    <w:top w:val="none" w:sz="0" w:space="0" w:color="auto"/>
                    <w:left w:val="none" w:sz="0" w:space="0" w:color="auto"/>
                    <w:bottom w:val="none" w:sz="0" w:space="0" w:color="auto"/>
                    <w:right w:val="none" w:sz="0" w:space="0" w:color="auto"/>
                  </w:divBdr>
                  <w:divsChild>
                    <w:div w:id="1959071133">
                      <w:marLeft w:val="0"/>
                      <w:marRight w:val="0"/>
                      <w:marTop w:val="0"/>
                      <w:marBottom w:val="0"/>
                      <w:divBdr>
                        <w:top w:val="none" w:sz="0" w:space="0" w:color="auto"/>
                        <w:left w:val="none" w:sz="0" w:space="0" w:color="auto"/>
                        <w:bottom w:val="none" w:sz="0" w:space="0" w:color="auto"/>
                        <w:right w:val="none" w:sz="0" w:space="0" w:color="auto"/>
                      </w:divBdr>
                      <w:divsChild>
                        <w:div w:id="1691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1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phinational.org/policy-research/workforce-data-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958C390646324B8B47E9862F51A49D" ma:contentTypeVersion="1" ma:contentTypeDescription="Create a new document." ma:contentTypeScope="" ma:versionID="b9f45f6a4b9a39080ccb6d6bcfe47eba">
  <xsd:schema xmlns:xsd="http://www.w3.org/2001/XMLSchema" xmlns:xs="http://www.w3.org/2001/XMLSchema" xmlns:p="http://schemas.microsoft.com/office/2006/metadata/properties" xmlns:ns3="e4375398-2e50-4274-a4a4-dbd961c41e2b" targetNamespace="http://schemas.microsoft.com/office/2006/metadata/properties" ma:root="true" ma:fieldsID="8636b483fe2677e3702011f5f7d27f83" ns3:_="">
    <xsd:import namespace="e4375398-2e50-4274-a4a4-dbd961c41e2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5398-2e50-4274-a4a4-dbd961c41e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E5D96-3AE4-4469-8380-56C5B93072EF}">
  <ds:schemaRefs>
    <ds:schemaRef ds:uri="http://schemas.openxmlformats.org/officeDocument/2006/bibliography"/>
  </ds:schemaRefs>
</ds:datastoreItem>
</file>

<file path=customXml/itemProps2.xml><?xml version="1.0" encoding="utf-8"?>
<ds:datastoreItem xmlns:ds="http://schemas.openxmlformats.org/officeDocument/2006/customXml" ds:itemID="{EA199E93-9044-4677-B13A-8788E712DA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BA01F-92AE-48F7-8ADC-4A7607C439CF}">
  <ds:schemaRefs>
    <ds:schemaRef ds:uri="http://schemas.microsoft.com/sharepoint/v3/contenttype/forms"/>
  </ds:schemaRefs>
</ds:datastoreItem>
</file>

<file path=customXml/itemProps4.xml><?xml version="1.0" encoding="utf-8"?>
<ds:datastoreItem xmlns:ds="http://schemas.openxmlformats.org/officeDocument/2006/customXml" ds:itemID="{53C406F8-2EBC-4A2D-9CE4-4450E7E9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5398-2e50-4274-a4a4-dbd961c41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Pugh</dc:creator>
  <cp:lastModifiedBy>Owner</cp:lastModifiedBy>
  <cp:revision>2</cp:revision>
  <cp:lastPrinted>2018-03-26T16:29:00Z</cp:lastPrinted>
  <dcterms:created xsi:type="dcterms:W3CDTF">2020-11-17T23:44:00Z</dcterms:created>
  <dcterms:modified xsi:type="dcterms:W3CDTF">2020-11-17T23:44:00Z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0x0101009B958C390646324B8B47E9862F51A49D</vt:lpwstr>
  </property>
</Properties>
</file>